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C6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Почему в 2024 году изменились суммы налогов на имущество?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F8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Транспортный налог.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Рост налога может обуславливаться следующими причинами: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1) изменение налоговых ставок и (или) отмена льгот, </w:t>
      </w:r>
      <w:proofErr w:type="gramStart"/>
      <w:r w:rsidRPr="00EC6F87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C6F87">
        <w:rPr>
          <w:rFonts w:ascii="Times New Roman" w:hAnsi="Times New Roman" w:cs="Times New Roman"/>
          <w:sz w:val="28"/>
          <w:szCs w:val="28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8" w:history="1">
        <w:r w:rsidRPr="00EC6F87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EC6F8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 w:rsidRPr="00EC6F8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EC6F87">
        <w:rPr>
          <w:rFonts w:ascii="Times New Roman" w:hAnsi="Times New Roman" w:cs="Times New Roman"/>
          <w:sz w:val="28"/>
          <w:szCs w:val="28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F8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Земельный налог.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Рост налога может обуславливаться следующими причинами: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1) изменение налоговых ставок и (или) отмена льгот, </w:t>
      </w:r>
      <w:proofErr w:type="gramStart"/>
      <w:r w:rsidRPr="00EC6F87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C6F87">
        <w:rPr>
          <w:rFonts w:ascii="Times New Roman" w:hAnsi="Times New Roman" w:cs="Times New Roman"/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9" w:history="1">
        <w:r w:rsidRPr="00EC6F87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EC6F87">
        <w:rPr>
          <w:rFonts w:ascii="Times New Roman" w:hAnsi="Times New Roman" w:cs="Times New Roman"/>
          <w:sz w:val="28"/>
          <w:szCs w:val="28"/>
        </w:rPr>
        <w:t>);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2) изменение кадастровой стоимости земельного участка, например, вследствие изменения характеристик земельного участка (вида разрешенного использования, категории земель, площади), </w:t>
      </w:r>
      <w:proofErr w:type="gramStart"/>
      <w:r w:rsidRPr="00EC6F87">
        <w:rPr>
          <w:rFonts w:ascii="Times New Roman" w:hAnsi="Times New Roman" w:cs="Times New Roman"/>
          <w:sz w:val="28"/>
          <w:szCs w:val="28"/>
        </w:rPr>
        <w:t>притом</w:t>
      </w:r>
      <w:proofErr w:type="gramEnd"/>
      <w:r w:rsidRPr="00EC6F87">
        <w:rPr>
          <w:rFonts w:ascii="Times New Roman" w:hAnsi="Times New Roman" w:cs="Times New Roman"/>
          <w:sz w:val="28"/>
          <w:szCs w:val="28"/>
        </w:rPr>
        <w:t xml:space="preserve"> что отсутствуют </w:t>
      </w:r>
      <w:r w:rsidRPr="00EC6F87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 w:rsidDel="00DA6409">
        <w:rPr>
          <w:rFonts w:ascii="Times New Roman" w:hAnsi="Times New Roman" w:cs="Times New Roman"/>
          <w:sz w:val="28"/>
          <w:szCs w:val="28"/>
        </w:rPr>
        <w:t xml:space="preserve"> </w:t>
      </w:r>
      <w:r w:rsidRPr="00EC6F87">
        <w:rPr>
          <w:rFonts w:ascii="Times New Roman" w:hAnsi="Times New Roman" w:cs="Times New Roman"/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органов </w:t>
      </w:r>
      <w:proofErr w:type="spellStart"/>
      <w:r w:rsidRPr="00EC6F8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C6F87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F8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 на имущество физических лиц. 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F87">
        <w:rPr>
          <w:rFonts w:ascii="Times New Roman" w:hAnsi="Times New Roman" w:cs="Times New Roman"/>
          <w:sz w:val="28"/>
          <w:szCs w:val="28"/>
        </w:rPr>
        <w:t xml:space="preserve">Рост налога может обуславливаться изменением налоговых ставок или отменой льгот, </w:t>
      </w:r>
      <w:proofErr w:type="gramStart"/>
      <w:r w:rsidRPr="00EC6F87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C6F87">
        <w:rPr>
          <w:rFonts w:ascii="Times New Roman" w:hAnsi="Times New Roman" w:cs="Times New Roman"/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0" w:history="1">
        <w:r w:rsidRPr="00EC6F87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EC6F87">
        <w:rPr>
          <w:rFonts w:ascii="Times New Roman" w:hAnsi="Times New Roman" w:cs="Times New Roman"/>
          <w:sz w:val="28"/>
          <w:szCs w:val="28"/>
        </w:rPr>
        <w:t>).</w:t>
      </w:r>
    </w:p>
    <w:p w:rsidR="00EC6F87" w:rsidRPr="00EC6F87" w:rsidRDefault="00EC6F87" w:rsidP="00EC6F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3569D" w:rsidRPr="00EC6F87" w:rsidRDefault="00C3569D" w:rsidP="00EC6F87">
      <w:pPr>
        <w:rPr>
          <w:rFonts w:ascii="Times New Roman" w:hAnsi="Times New Roman" w:cs="Times New Roman"/>
        </w:rPr>
      </w:pPr>
    </w:p>
    <w:sectPr w:rsidR="00C3569D" w:rsidRPr="00EC6F87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5418A2"/>
    <w:rsid w:val="00755DC8"/>
    <w:rsid w:val="007723F7"/>
    <w:rsid w:val="00777031"/>
    <w:rsid w:val="009320B6"/>
    <w:rsid w:val="00C04EBC"/>
    <w:rsid w:val="00C3569D"/>
    <w:rsid w:val="00D52600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2024-09-27T07:20:00Z</dcterms:created>
  <dcterms:modified xsi:type="dcterms:W3CDTF">2024-09-27T07:20:00Z</dcterms:modified>
</cp:coreProperties>
</file>